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0A5" w:rsidRDefault="00AD60A5"/>
    <w:p w:rsidR="008D72B2" w:rsidRPr="008D72B2" w:rsidRDefault="008D72B2" w:rsidP="008D72B2">
      <w:pPr>
        <w:jc w:val="right"/>
      </w:pPr>
      <w:r>
        <w:t>Zał. nr 4 do Polityki</w:t>
      </w:r>
    </w:p>
    <w:p w:rsidR="005F1EA4" w:rsidRPr="00A94FDF" w:rsidRDefault="005F1EA4" w:rsidP="001B6D5B">
      <w:pPr>
        <w:jc w:val="both"/>
        <w:rPr>
          <w:b/>
          <w:u w:val="single"/>
        </w:rPr>
      </w:pPr>
      <w:r w:rsidRPr="00A94FDF">
        <w:rPr>
          <w:b/>
          <w:u w:val="single"/>
        </w:rPr>
        <w:t>PROCEDURA ANALIZY RYZYKA</w:t>
      </w:r>
    </w:p>
    <w:p w:rsidR="00A94FDF" w:rsidRDefault="00A94FDF" w:rsidP="001B6D5B">
      <w:pPr>
        <w:jc w:val="both"/>
      </w:pPr>
      <w:r>
        <w:t xml:space="preserve">     Celem procedury jest opisanie zasad przeprowadzenia analizy ryzyka, która w efekcie ma doprowadzić do zastosowania odpowiednich dla Administratora środków technicznych i organizacyjnych zapewniających obniżenie ryzyka przypadkowego lub niezgodnego z prawem zniszczenia, modyfikacji, nieuprawnionego ujawnienia lub nieuprawnionego dostępu do danych osobowych.</w:t>
      </w:r>
    </w:p>
    <w:p w:rsidR="005E25F4" w:rsidRDefault="005E25F4" w:rsidP="001B6D5B">
      <w:pPr>
        <w:jc w:val="both"/>
      </w:pPr>
      <w:r>
        <w:t>Artykuł 24 RODO opisuje jeden z obowiązków Administratora Danych</w:t>
      </w:r>
      <w:r w:rsidR="0061697D">
        <w:t xml:space="preserve"> i brzmi następująco;</w:t>
      </w:r>
    </w:p>
    <w:p w:rsidR="0061697D" w:rsidRDefault="0061697D" w:rsidP="001B6D5B">
      <w:pPr>
        <w:jc w:val="both"/>
      </w:pPr>
      <w:r>
        <w:t xml:space="preserve">„Uwzględniając charakter, zakres, kontekst i cele przetwarzania oraz </w:t>
      </w:r>
      <w:r w:rsidRPr="0061697D">
        <w:rPr>
          <w:u w:val="single"/>
        </w:rPr>
        <w:t>ryzyko naruszenia praw lub wolności osób fizycznych</w:t>
      </w:r>
      <w:r>
        <w:t xml:space="preserve"> o różnym prawdopodobieństwie i wadze zagrożenia, administrator wdraża odpowiednie środki techniczne i organizacyjne, aby przetwarzanie odbywało się zgodnie z niniejszym rozporządzeniem i aby móc to wykazać. Środki te są w razie potrzeby poddawane przeglądom i uaktualniane.”</w:t>
      </w:r>
    </w:p>
    <w:p w:rsidR="00255F5E" w:rsidRDefault="0061697D" w:rsidP="001B6D5B">
      <w:pPr>
        <w:jc w:val="both"/>
      </w:pPr>
      <w:r>
        <w:t>Każdy Administrator Danych ma więc obowiązek przeprowadzenia analizy ryzyka, żeby ustalić jego poziom w stosunku do różnych aktywów uczestniczących w przetwarzaniu. Podstawowym aktywem, którym zajmuje</w:t>
      </w:r>
      <w:r w:rsidR="00255F5E">
        <w:t xml:space="preserve"> się RODO są dane osobowe, które należą do kategorii informacji. </w:t>
      </w:r>
    </w:p>
    <w:p w:rsidR="00255F5E" w:rsidRDefault="00255F5E" w:rsidP="001B6D5B">
      <w:pPr>
        <w:jc w:val="both"/>
      </w:pPr>
      <w:r>
        <w:t>W kontekście bezpieczeństwa informacji bierze się pod uwagę następujące atrybuty:</w:t>
      </w:r>
    </w:p>
    <w:p w:rsidR="00255F5E" w:rsidRDefault="00255F5E" w:rsidP="001B6D5B">
      <w:pPr>
        <w:jc w:val="both"/>
      </w:pPr>
      <w:r>
        <w:t>- integralność – właściwość zapewniająca, że dane nie zostały zmienione lub zniszczone w sposób nieautoryzowany,</w:t>
      </w:r>
    </w:p>
    <w:p w:rsidR="00255F5E" w:rsidRDefault="00255F5E" w:rsidP="001B6D5B">
      <w:pPr>
        <w:jc w:val="both"/>
      </w:pPr>
      <w:r>
        <w:t>- poufność – właściwość zapewniająca, że informacja nie jest udostępniana lub ujawniana nieautoryzowanym osobom, podmiotom lub procesom,</w:t>
      </w:r>
    </w:p>
    <w:p w:rsidR="00255F5E" w:rsidRDefault="00255F5E" w:rsidP="001B6D5B">
      <w:pPr>
        <w:jc w:val="both"/>
      </w:pPr>
      <w:r>
        <w:t>- dostępność – właściwość zapewniająca, że dane są dostępne zgodnie z wymaganiami użytkownika.</w:t>
      </w:r>
    </w:p>
    <w:p w:rsidR="00255F5E" w:rsidRDefault="00255F5E" w:rsidP="001B6D5B">
      <w:pPr>
        <w:jc w:val="both"/>
      </w:pPr>
      <w:r>
        <w:t xml:space="preserve">Wartość ryzyka (R) </w:t>
      </w:r>
      <w:r w:rsidR="006F3023">
        <w:t>wylicza się według poniższego</w:t>
      </w:r>
      <w:r>
        <w:t xml:space="preserve"> wzoru</w:t>
      </w:r>
      <w:r w:rsidR="006F3023">
        <w:t xml:space="preserve"> dla każdego z atrybutów bezpieczeństwa.</w:t>
      </w:r>
    </w:p>
    <w:p w:rsidR="00255F5E" w:rsidRDefault="00255F5E" w:rsidP="001B6D5B">
      <w:pPr>
        <w:jc w:val="both"/>
        <w:rPr>
          <w:b/>
        </w:rPr>
      </w:pPr>
      <w:r w:rsidRPr="00255F5E">
        <w:rPr>
          <w:b/>
        </w:rPr>
        <w:t>R = P * S</w:t>
      </w:r>
    </w:p>
    <w:p w:rsidR="00255F5E" w:rsidRDefault="006F3023" w:rsidP="001B6D5B">
      <w:pPr>
        <w:jc w:val="both"/>
      </w:pPr>
      <w:r>
        <w:t>g</w:t>
      </w:r>
      <w:r w:rsidR="00255F5E">
        <w:t>dzie : P – prawdopodobieństwo wystąpienia zagrożenia</w:t>
      </w:r>
    </w:p>
    <w:p w:rsidR="00255F5E" w:rsidRDefault="00255F5E" w:rsidP="005A36DF">
      <w:pPr>
        <w:ind w:left="645"/>
        <w:jc w:val="both"/>
      </w:pPr>
      <w:r>
        <w:t>S – Szkodliwość skutków zmaterializowania się zagrożenia</w:t>
      </w:r>
      <w:r w:rsidR="004B2F77">
        <w:t xml:space="preserve"> (wartość aktywa)</w:t>
      </w:r>
      <w:r w:rsidR="005A36DF">
        <w:t xml:space="preserve"> – maksymalna wartość skutku dla zagrożenia</w:t>
      </w:r>
    </w:p>
    <w:p w:rsidR="006F3023" w:rsidRDefault="006F3023" w:rsidP="001B6D5B">
      <w:pPr>
        <w:jc w:val="both"/>
      </w:pPr>
      <w:r>
        <w:t>Analizę ryzyka przeprowadza się w następujących krokach:</w:t>
      </w:r>
    </w:p>
    <w:p w:rsidR="006F3023" w:rsidRDefault="006F3023" w:rsidP="001B6D5B">
      <w:pPr>
        <w:pStyle w:val="Akapitzlist"/>
        <w:numPr>
          <w:ilvl w:val="0"/>
          <w:numId w:val="2"/>
        </w:numPr>
        <w:jc w:val="both"/>
      </w:pPr>
      <w:r>
        <w:t>Identyfikacja aktywów biorących udział w przetwarzaniu, w tym danych osobowych i oszacowanie skutków zmaterializowania się zagrożenia.</w:t>
      </w:r>
    </w:p>
    <w:p w:rsidR="006F3023" w:rsidRDefault="006F3023" w:rsidP="001B6D5B">
      <w:pPr>
        <w:pStyle w:val="Akapitzlist"/>
        <w:jc w:val="both"/>
      </w:pPr>
      <w:r>
        <w:lastRenderedPageBreak/>
        <w:t xml:space="preserve">Przykładowe aktywa to zbiory danych osobowych, informacje uwierzytelniające, sprzęt komputerowy, </w:t>
      </w:r>
      <w:r w:rsidR="006F5753">
        <w:t>usługi, w tym outsourcing, budynek. Aktywa można odpowiednio pogrupować.</w:t>
      </w:r>
    </w:p>
    <w:p w:rsidR="006F5753" w:rsidRDefault="006F5753" w:rsidP="001B6D5B">
      <w:pPr>
        <w:pStyle w:val="Akapitzlist"/>
        <w:jc w:val="both"/>
      </w:pPr>
      <w:r>
        <w:t>Każde aktywo lub grupę aktywów należy wycenić przez pryzmat skutku zmaterializowania się zagrożenia. W jakościowej metodzie analizy ryzyka przyjmuje się, że wartość aktywa</w:t>
      </w:r>
      <w:r w:rsidR="004B2F77">
        <w:t xml:space="preserve"> (S)</w:t>
      </w:r>
      <w:r>
        <w:t xml:space="preserve"> jest wyrażone liczbą z przedziału 1-3, gdzie:</w:t>
      </w:r>
    </w:p>
    <w:p w:rsidR="006F5753" w:rsidRDefault="006F5753" w:rsidP="001B6D5B">
      <w:pPr>
        <w:pStyle w:val="Akapitzlist"/>
        <w:jc w:val="both"/>
      </w:pPr>
      <w:r>
        <w:t>1 – zdarzenie wywołuje niewielki skutek (</w:t>
      </w:r>
      <w:r w:rsidR="004B2F77">
        <w:t>np. czas niedostępności informacji jest stosunkowo krótki, cena odtworzenia aktywa w przypadku utraty nie jest wysoka, utrata poufności dotyczy niewielkiej ilości danych),</w:t>
      </w:r>
    </w:p>
    <w:p w:rsidR="006F5753" w:rsidRDefault="006F5753" w:rsidP="001B6D5B">
      <w:pPr>
        <w:pStyle w:val="Akapitzlist"/>
        <w:jc w:val="both"/>
      </w:pPr>
      <w:r>
        <w:t>2 – zdarzenie wywołuje znaczący skutek</w:t>
      </w:r>
      <w:r w:rsidR="004B2F77">
        <w:t xml:space="preserve"> (np. czas niedostępności informacji lub usług systemu jest odczuwalny, cena odtworzenia aktywa jest dość wysoka, utrata poufności dotyczy szczególnych kategorii danych),</w:t>
      </w:r>
    </w:p>
    <w:p w:rsidR="006F5753" w:rsidRDefault="006F5753" w:rsidP="001B6D5B">
      <w:pPr>
        <w:pStyle w:val="Akapitzlist"/>
        <w:jc w:val="both"/>
      </w:pPr>
      <w:r>
        <w:t>3 – zdarzenie wywołuje bardzo znaczący skutek</w:t>
      </w:r>
      <w:r w:rsidR="004B2F77">
        <w:t xml:space="preserve"> (np. czas niedostępności jest długi i przywrócenie dostępu wiąże się z dodatkowymi kosztami, odtworzenie aktywa jest niemożliwe, utrata poufności wiąże się z koniecznością zawiadomienia Urzędu ochrony danych lub opublikowania informacji w prasie).</w:t>
      </w:r>
    </w:p>
    <w:p w:rsidR="00C2104F" w:rsidRDefault="00C2104F" w:rsidP="001B6D5B">
      <w:pPr>
        <w:pStyle w:val="Akapitzlist"/>
        <w:jc w:val="both"/>
      </w:pPr>
    </w:p>
    <w:p w:rsidR="00C2104F" w:rsidRDefault="00C2104F" w:rsidP="001B6D5B">
      <w:pPr>
        <w:pStyle w:val="Akapitzlist"/>
        <w:numPr>
          <w:ilvl w:val="0"/>
          <w:numId w:val="2"/>
        </w:numPr>
        <w:jc w:val="both"/>
      </w:pPr>
      <w:r>
        <w:t xml:space="preserve">Identyfikacja zagrożeń, określanych jako potencjalne naruszenie zabezpieczenia systemu informatycznego, które będą uwzględniane w procesie analizy ryzyka. </w:t>
      </w:r>
    </w:p>
    <w:p w:rsidR="00A94FDF" w:rsidRDefault="00A94FDF" w:rsidP="001B6D5B">
      <w:pPr>
        <w:pStyle w:val="Akapitzlist"/>
        <w:jc w:val="both"/>
      </w:pPr>
      <w:r>
        <w:t>Źródłem zagrożeń mogą być:</w:t>
      </w:r>
    </w:p>
    <w:p w:rsidR="00A94FDF" w:rsidRDefault="00A94FDF" w:rsidP="001B6D5B">
      <w:pPr>
        <w:pStyle w:val="Akapitzlist"/>
        <w:jc w:val="both"/>
      </w:pPr>
      <w:r>
        <w:t>- siły wyższe np. klęski żywiołowe,</w:t>
      </w:r>
    </w:p>
    <w:p w:rsidR="00A94FDF" w:rsidRDefault="00A94FDF" w:rsidP="001B6D5B">
      <w:pPr>
        <w:pStyle w:val="Akapitzlist"/>
        <w:jc w:val="both"/>
      </w:pPr>
      <w:r>
        <w:t>- działania przestępcze, w tym:</w:t>
      </w:r>
    </w:p>
    <w:p w:rsidR="00A94FDF" w:rsidRDefault="00A94FDF" w:rsidP="001B6D5B">
      <w:pPr>
        <w:pStyle w:val="Akapitzlist"/>
        <w:numPr>
          <w:ilvl w:val="0"/>
          <w:numId w:val="3"/>
        </w:numPr>
        <w:jc w:val="both"/>
      </w:pPr>
      <w:r>
        <w:t xml:space="preserve">zagrożenia związane z kradzieżą sprzętu, oprogramowania, dokumentów, </w:t>
      </w:r>
    </w:p>
    <w:p w:rsidR="00A94FDF" w:rsidRDefault="00A94FDF" w:rsidP="001B6D5B">
      <w:pPr>
        <w:pStyle w:val="Akapitzlist"/>
        <w:numPr>
          <w:ilvl w:val="0"/>
          <w:numId w:val="3"/>
        </w:numPr>
        <w:jc w:val="both"/>
      </w:pPr>
      <w:r>
        <w:t>nieuprawnione działanie personelu,</w:t>
      </w:r>
    </w:p>
    <w:p w:rsidR="00A94FDF" w:rsidRDefault="00A94FDF" w:rsidP="001B6D5B">
      <w:pPr>
        <w:pStyle w:val="Akapitzlist"/>
        <w:numPr>
          <w:ilvl w:val="0"/>
          <w:numId w:val="3"/>
        </w:numPr>
        <w:jc w:val="both"/>
      </w:pPr>
      <w:r>
        <w:t>nieuprawnione działanie osób postronnych,</w:t>
      </w:r>
    </w:p>
    <w:p w:rsidR="00A94FDF" w:rsidRDefault="00A94FDF" w:rsidP="001B6D5B">
      <w:pPr>
        <w:pStyle w:val="Akapitzlist"/>
        <w:jc w:val="both"/>
      </w:pPr>
      <w:r>
        <w:t>- błędy personelu obsługującego dokumenty tradycyjne lub system komputerowy,</w:t>
      </w:r>
    </w:p>
    <w:p w:rsidR="00A94FDF" w:rsidRDefault="00A94FDF" w:rsidP="001B6D5B">
      <w:pPr>
        <w:pStyle w:val="Akapitzlist"/>
        <w:jc w:val="both"/>
      </w:pPr>
      <w:r>
        <w:t>- zła organizacja pracy w tym błędy w ochronie fizycznej i technicznej,</w:t>
      </w:r>
    </w:p>
    <w:p w:rsidR="00A94FDF" w:rsidRDefault="00A94FDF" w:rsidP="001B6D5B">
      <w:pPr>
        <w:pStyle w:val="Akapitzlist"/>
        <w:jc w:val="both"/>
      </w:pPr>
      <w:r>
        <w:t>- awarie i uszkodzenia sprzętu i infrastruktury teleinformatycznej</w:t>
      </w:r>
      <w:r w:rsidR="00E96307">
        <w:t>.</w:t>
      </w:r>
    </w:p>
    <w:p w:rsidR="00E96307" w:rsidRDefault="00E96307" w:rsidP="001B6D5B">
      <w:pPr>
        <w:pStyle w:val="Akapitzlist"/>
        <w:jc w:val="both"/>
      </w:pPr>
    </w:p>
    <w:p w:rsidR="006F3023" w:rsidRDefault="00A94FDF" w:rsidP="001B6D5B">
      <w:pPr>
        <w:pStyle w:val="Akapitzlist"/>
        <w:numPr>
          <w:ilvl w:val="0"/>
          <w:numId w:val="2"/>
        </w:numPr>
        <w:jc w:val="both"/>
      </w:pPr>
      <w:r>
        <w:t xml:space="preserve">Szacowanie ryzyka zmaterializowania się zagrożeń dla zidentyfikowanych aktywów w kontekście wymienionych wyżej atrybutów bezpieczeństwa z zastosowaniem wzoru </w:t>
      </w:r>
    </w:p>
    <w:p w:rsidR="00A94FDF" w:rsidRDefault="00A94FDF" w:rsidP="001B6D5B">
      <w:pPr>
        <w:pStyle w:val="Akapitzlist"/>
        <w:jc w:val="both"/>
      </w:pPr>
      <w:r>
        <w:t>R = P * S</w:t>
      </w:r>
    </w:p>
    <w:p w:rsidR="00562812" w:rsidRPr="00A94FDF" w:rsidRDefault="00A94FDF" w:rsidP="001B6D5B">
      <w:pPr>
        <w:pStyle w:val="Akapitzlist"/>
        <w:jc w:val="both"/>
      </w:pPr>
      <w:r w:rsidRPr="00A94FDF">
        <w:t>gdzie p</w:t>
      </w:r>
      <w:r w:rsidR="00AC2FF5" w:rsidRPr="00A94FDF">
        <w:t>rawdopodobieństwo zmaterializowania się zagrożenia przyjmuje wartości:</w:t>
      </w:r>
    </w:p>
    <w:p w:rsidR="00AC2FF5" w:rsidRPr="00A94FDF" w:rsidRDefault="00AC2FF5" w:rsidP="001B6D5B">
      <w:pPr>
        <w:pStyle w:val="Akapitzlist"/>
        <w:jc w:val="both"/>
      </w:pPr>
      <w:r w:rsidRPr="00A94FDF">
        <w:t xml:space="preserve">1 – niskie </w:t>
      </w:r>
    </w:p>
    <w:p w:rsidR="00AC2FF5" w:rsidRPr="00A94FDF" w:rsidRDefault="00AC2FF5" w:rsidP="001B6D5B">
      <w:pPr>
        <w:pStyle w:val="Akapitzlist"/>
        <w:jc w:val="both"/>
      </w:pPr>
      <w:r w:rsidRPr="00A94FDF">
        <w:t xml:space="preserve">2 – średnie </w:t>
      </w:r>
    </w:p>
    <w:p w:rsidR="00AC2FF5" w:rsidRPr="00A94FDF" w:rsidRDefault="00AC2FF5" w:rsidP="001B6D5B">
      <w:pPr>
        <w:pStyle w:val="Akapitzlist"/>
        <w:jc w:val="both"/>
      </w:pPr>
      <w:r w:rsidRPr="00A94FDF">
        <w:t>3 - wysokie</w:t>
      </w:r>
    </w:p>
    <w:p w:rsidR="008853B8" w:rsidRDefault="00E96307" w:rsidP="001B6D5B">
      <w:pPr>
        <w:ind w:firstLine="708"/>
        <w:jc w:val="both"/>
      </w:pPr>
      <w:r>
        <w:t>Poziom ryzyka</w:t>
      </w:r>
      <w:r w:rsidR="005A36DF">
        <w:t xml:space="preserve"> dla poszczególnych zagrożeń</w:t>
      </w:r>
      <w:r w:rsidR="008853B8">
        <w:t xml:space="preserve"> może przyj</w:t>
      </w:r>
      <w:r w:rsidR="005A36DF">
        <w:t>mować wartości z przedziału 1-9</w:t>
      </w:r>
      <w:r w:rsidR="008853B8">
        <w:t>.</w:t>
      </w:r>
    </w:p>
    <w:p w:rsidR="003C7E8F" w:rsidRDefault="003C7E8F" w:rsidP="001B6D5B">
      <w:pPr>
        <w:ind w:firstLine="708"/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62"/>
        <w:gridCol w:w="2100"/>
      </w:tblGrid>
      <w:tr w:rsidR="005A36DF" w:rsidRPr="00A94499" w:rsidTr="003C7E8F">
        <w:trPr>
          <w:trHeight w:val="359"/>
        </w:trPr>
        <w:tc>
          <w:tcPr>
            <w:tcW w:w="7650" w:type="dxa"/>
          </w:tcPr>
          <w:p w:rsidR="005A36DF" w:rsidRPr="00A94499" w:rsidRDefault="005A36DF" w:rsidP="00EE5983">
            <w:pPr>
              <w:rPr>
                <w:b/>
              </w:rPr>
            </w:pPr>
          </w:p>
        </w:tc>
        <w:tc>
          <w:tcPr>
            <w:tcW w:w="2268" w:type="dxa"/>
          </w:tcPr>
          <w:p w:rsidR="003C7E8F" w:rsidRPr="00A94499" w:rsidRDefault="005A36DF" w:rsidP="003C7E8F">
            <w:pPr>
              <w:rPr>
                <w:b/>
              </w:rPr>
            </w:pPr>
            <w:r w:rsidRPr="00A94499">
              <w:rPr>
                <w:b/>
              </w:rPr>
              <w:t xml:space="preserve">Wartość </w:t>
            </w:r>
            <w:r w:rsidR="003C7E8F">
              <w:rPr>
                <w:b/>
              </w:rPr>
              <w:t>ryzyka</w:t>
            </w:r>
          </w:p>
          <w:p w:rsidR="005A36DF" w:rsidRPr="00A94499" w:rsidRDefault="005A36DF" w:rsidP="00EE5983">
            <w:pPr>
              <w:rPr>
                <w:b/>
              </w:rPr>
            </w:pPr>
          </w:p>
        </w:tc>
      </w:tr>
      <w:tr w:rsidR="005A36DF" w:rsidRPr="00A94499" w:rsidTr="00EE5983">
        <w:tc>
          <w:tcPr>
            <w:tcW w:w="7650" w:type="dxa"/>
          </w:tcPr>
          <w:p w:rsidR="005A36DF" w:rsidRDefault="005A36DF" w:rsidP="00EE5983">
            <w:r>
              <w:t>Ryzyko nieuniknione lub ryzyko akceptowalne np. koszty uniknięcia ryzyka wyższe od odczuwalnych skutków, ryzyko nie związane z wystąpieniem krytycznego braku ochrony danych osobowych</w:t>
            </w:r>
          </w:p>
        </w:tc>
        <w:tc>
          <w:tcPr>
            <w:tcW w:w="2268" w:type="dxa"/>
          </w:tcPr>
          <w:p w:rsidR="005A36DF" w:rsidRPr="00A94499" w:rsidRDefault="005A36DF" w:rsidP="00EE5983">
            <w:pPr>
              <w:rPr>
                <w:b/>
              </w:rPr>
            </w:pPr>
            <w:r w:rsidRPr="00A94499">
              <w:rPr>
                <w:b/>
              </w:rPr>
              <w:t>1-3</w:t>
            </w:r>
          </w:p>
        </w:tc>
      </w:tr>
      <w:tr w:rsidR="005A36DF" w:rsidRPr="00A94499" w:rsidTr="00EE5983">
        <w:tc>
          <w:tcPr>
            <w:tcW w:w="7650" w:type="dxa"/>
          </w:tcPr>
          <w:p w:rsidR="005A36DF" w:rsidRDefault="005A36DF" w:rsidP="00EE5983">
            <w:r>
              <w:t>Ryzyko akceptowalne, ale zauważalne, niezbędne do usunięcia po obniżeniu ryzyka związanego z najwyższym skutkiem i prawdopodobieństwem wystąpienia; ryzyko, którego nie należy lekceważyć</w:t>
            </w:r>
          </w:p>
        </w:tc>
        <w:tc>
          <w:tcPr>
            <w:tcW w:w="2268" w:type="dxa"/>
          </w:tcPr>
          <w:p w:rsidR="005A36DF" w:rsidRPr="00A94499" w:rsidRDefault="005A36DF" w:rsidP="00EE5983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5A36DF" w:rsidRPr="00A94499" w:rsidTr="00EE5983">
        <w:tc>
          <w:tcPr>
            <w:tcW w:w="7650" w:type="dxa"/>
          </w:tcPr>
          <w:p w:rsidR="005A36DF" w:rsidRDefault="005A36DF" w:rsidP="00EE5983">
            <w:r>
              <w:t>Ryzyko nieakceptowalne, które niesie za sobą wysokie koszty wystąpienia zagrożenia lub może wyraźnie zakłócić funkcjonowanie przedsiębiorstwa</w:t>
            </w:r>
          </w:p>
        </w:tc>
        <w:tc>
          <w:tcPr>
            <w:tcW w:w="2268" w:type="dxa"/>
          </w:tcPr>
          <w:p w:rsidR="005A36DF" w:rsidRPr="00A94499" w:rsidRDefault="005A36DF" w:rsidP="00EE5983">
            <w:pPr>
              <w:rPr>
                <w:b/>
              </w:rPr>
            </w:pPr>
            <w:r>
              <w:rPr>
                <w:b/>
              </w:rPr>
              <w:t xml:space="preserve">6, </w:t>
            </w:r>
            <w:r w:rsidRPr="00A94499">
              <w:rPr>
                <w:b/>
              </w:rPr>
              <w:t>9</w:t>
            </w:r>
          </w:p>
        </w:tc>
      </w:tr>
    </w:tbl>
    <w:p w:rsidR="005A36DF" w:rsidRDefault="005A36DF" w:rsidP="001B6D5B">
      <w:pPr>
        <w:ind w:firstLine="708"/>
        <w:jc w:val="both"/>
      </w:pPr>
    </w:p>
    <w:p w:rsidR="00E96307" w:rsidRDefault="00731A8A" w:rsidP="001B6D5B">
      <w:pPr>
        <w:pStyle w:val="Akapitzlist"/>
        <w:numPr>
          <w:ilvl w:val="0"/>
          <w:numId w:val="2"/>
        </w:numPr>
        <w:ind w:left="714" w:hanging="357"/>
        <w:jc w:val="both"/>
      </w:pPr>
      <w:r>
        <w:t xml:space="preserve">Dla wszystkich </w:t>
      </w:r>
      <w:r w:rsidR="003C7E8F">
        <w:t>ryzyk nieakceptowalnych</w:t>
      </w:r>
      <w:bookmarkStart w:id="0" w:name="_GoBack"/>
      <w:bookmarkEnd w:id="0"/>
      <w:r w:rsidR="00E96307">
        <w:t xml:space="preserve">  - określenie i wdrożenie odpowiedniego postępowania z ryzykiem. Przez postępowanie z ryzykiem rozumie się:</w:t>
      </w:r>
    </w:p>
    <w:p w:rsidR="00731A8A" w:rsidRDefault="00E96307" w:rsidP="001B6D5B">
      <w:pPr>
        <w:pStyle w:val="Akapitzlist"/>
        <w:spacing w:after="40" w:line="240" w:lineRule="auto"/>
        <w:jc w:val="both"/>
      </w:pPr>
      <w:r>
        <w:t>- przeniesienie</w:t>
      </w:r>
      <w:r w:rsidR="00731A8A">
        <w:t xml:space="preserve"> ryzyka na stronę trzecią np. outsourcing usług,</w:t>
      </w:r>
    </w:p>
    <w:p w:rsidR="00731A8A" w:rsidRDefault="00731A8A" w:rsidP="001B6D5B">
      <w:pPr>
        <w:spacing w:after="40" w:line="240" w:lineRule="auto"/>
        <w:ind w:left="708"/>
        <w:jc w:val="both"/>
      </w:pPr>
      <w:r>
        <w:t>-</w:t>
      </w:r>
      <w:r w:rsidR="001B6D5B">
        <w:t xml:space="preserve"> </w:t>
      </w:r>
      <w:r w:rsidR="00E96307">
        <w:t>unikanie</w:t>
      </w:r>
      <w:r>
        <w:t xml:space="preserve"> ryzyka np. eliminacja procesów lub działań powodujących ryzyko np. zakaz wynoszenia laptopów poza teren firmy</w:t>
      </w:r>
      <w:r w:rsidR="001B6D5B">
        <w:t>,</w:t>
      </w:r>
    </w:p>
    <w:p w:rsidR="001B6D5B" w:rsidRDefault="00731A8A" w:rsidP="001B6D5B">
      <w:pPr>
        <w:spacing w:after="40" w:line="240" w:lineRule="auto"/>
        <w:ind w:left="708"/>
        <w:jc w:val="both"/>
      </w:pPr>
      <w:r>
        <w:t xml:space="preserve">- </w:t>
      </w:r>
      <w:r w:rsidR="00E96307">
        <w:t>redukcję</w:t>
      </w:r>
      <w:r w:rsidR="00860FBC">
        <w:t xml:space="preserve"> – zastosowane zabezpieczeń technicznych i organizacyjnych w celu obniżenia ryzyka np. zaszyfrowanie dysków laptopów</w:t>
      </w:r>
      <w:r w:rsidR="001B6D5B">
        <w:t>.</w:t>
      </w:r>
    </w:p>
    <w:p w:rsidR="001B6D5B" w:rsidRDefault="001B6D5B" w:rsidP="001B6D5B">
      <w:pPr>
        <w:spacing w:after="40" w:line="240" w:lineRule="auto"/>
        <w:ind w:left="708"/>
        <w:jc w:val="both"/>
      </w:pPr>
      <w:r>
        <w:t xml:space="preserve">Na podstawie podjętych decyzji powstaje </w:t>
      </w:r>
      <w:r w:rsidRPr="001B6D5B">
        <w:rPr>
          <w:b/>
        </w:rPr>
        <w:t>Plan postępowania z ryzykiem</w:t>
      </w:r>
      <w:r>
        <w:t>, który zawiera:</w:t>
      </w:r>
    </w:p>
    <w:p w:rsidR="001B6D5B" w:rsidRDefault="001B6D5B" w:rsidP="001B6D5B">
      <w:pPr>
        <w:spacing w:after="40" w:line="240" w:lineRule="auto"/>
        <w:ind w:left="708"/>
        <w:jc w:val="both"/>
      </w:pPr>
      <w:r>
        <w:t>- wybrane warianty postępowania z ryzykiem,</w:t>
      </w:r>
    </w:p>
    <w:p w:rsidR="001B6D5B" w:rsidRDefault="001B6D5B" w:rsidP="001B6D5B">
      <w:pPr>
        <w:spacing w:after="40" w:line="240" w:lineRule="auto"/>
        <w:ind w:left="708"/>
        <w:jc w:val="both"/>
      </w:pPr>
      <w:r>
        <w:t>- lista zabezpieczeń do wdrożenia,</w:t>
      </w:r>
    </w:p>
    <w:p w:rsidR="001B6D5B" w:rsidRDefault="001B6D5B" w:rsidP="001B6D5B">
      <w:pPr>
        <w:spacing w:after="40" w:line="240" w:lineRule="auto"/>
        <w:ind w:left="708"/>
        <w:jc w:val="both"/>
      </w:pPr>
      <w:r>
        <w:t>- terminy realizacji,</w:t>
      </w:r>
    </w:p>
    <w:p w:rsidR="001B6D5B" w:rsidRDefault="001B6D5B" w:rsidP="001B6D5B">
      <w:pPr>
        <w:spacing w:after="40" w:line="240" w:lineRule="auto"/>
        <w:ind w:left="708"/>
        <w:jc w:val="both"/>
      </w:pPr>
      <w:r>
        <w:t>- osoby odpowiedzialne za wdrożenie,</w:t>
      </w:r>
    </w:p>
    <w:p w:rsidR="001B6D5B" w:rsidRDefault="001B6D5B" w:rsidP="001B6D5B">
      <w:pPr>
        <w:spacing w:after="40" w:line="240" w:lineRule="auto"/>
        <w:ind w:left="708"/>
        <w:jc w:val="both"/>
      </w:pPr>
      <w:r>
        <w:t>- ewentualne koszty.</w:t>
      </w:r>
    </w:p>
    <w:p w:rsidR="001B6D5B" w:rsidRDefault="001B6D5B" w:rsidP="001B6D5B">
      <w:pPr>
        <w:jc w:val="both"/>
      </w:pPr>
    </w:p>
    <w:p w:rsidR="00731A8A" w:rsidRDefault="00860FBC" w:rsidP="001B6D5B">
      <w:pPr>
        <w:jc w:val="both"/>
      </w:pPr>
      <w:r>
        <w:t>Ponowna analiza ryzyka powinna być przeprowadzana cyklicznie</w:t>
      </w:r>
      <w:r w:rsidR="001B6D5B">
        <w:t>,</w:t>
      </w:r>
      <w:r>
        <w:t xml:space="preserve"> w wyznaczonych odstępach czasu lub po znaczących zmianach w procesie przetwarzania danych osobowych.</w:t>
      </w:r>
    </w:p>
    <w:sectPr w:rsidR="00731A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3B8" w:rsidRDefault="008853B8" w:rsidP="008853B8">
      <w:pPr>
        <w:spacing w:after="0" w:line="240" w:lineRule="auto"/>
      </w:pPr>
      <w:r>
        <w:separator/>
      </w:r>
    </w:p>
  </w:endnote>
  <w:endnote w:type="continuationSeparator" w:id="0">
    <w:p w:rsidR="008853B8" w:rsidRDefault="008853B8" w:rsidP="00885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3B8" w:rsidRDefault="008853B8" w:rsidP="008853B8">
      <w:pPr>
        <w:spacing w:after="0" w:line="240" w:lineRule="auto"/>
      </w:pPr>
      <w:r>
        <w:separator/>
      </w:r>
    </w:p>
  </w:footnote>
  <w:footnote w:type="continuationSeparator" w:id="0">
    <w:p w:rsidR="008853B8" w:rsidRDefault="008853B8" w:rsidP="008853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E51C79"/>
    <w:multiLevelType w:val="hybridMultilevel"/>
    <w:tmpl w:val="D30ABA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112DD4"/>
    <w:multiLevelType w:val="hybridMultilevel"/>
    <w:tmpl w:val="C18CD30E"/>
    <w:lvl w:ilvl="0" w:tplc="8B76C9EE">
      <w:start w:val="1"/>
      <w:numFmt w:val="bullet"/>
      <w:lvlText w:val="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12E5DDF"/>
    <w:multiLevelType w:val="hybridMultilevel"/>
    <w:tmpl w:val="F56E3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EA4"/>
    <w:rsid w:val="00013FE1"/>
    <w:rsid w:val="0016292E"/>
    <w:rsid w:val="001B6D5B"/>
    <w:rsid w:val="00255F5E"/>
    <w:rsid w:val="003C7E8F"/>
    <w:rsid w:val="004769D5"/>
    <w:rsid w:val="004B2F77"/>
    <w:rsid w:val="00562812"/>
    <w:rsid w:val="005A36DF"/>
    <w:rsid w:val="005E25F4"/>
    <w:rsid w:val="005F1EA4"/>
    <w:rsid w:val="0061697D"/>
    <w:rsid w:val="006F3023"/>
    <w:rsid w:val="006F5753"/>
    <w:rsid w:val="00731A8A"/>
    <w:rsid w:val="007572F6"/>
    <w:rsid w:val="00860FBC"/>
    <w:rsid w:val="008853B8"/>
    <w:rsid w:val="008D72B2"/>
    <w:rsid w:val="00A94FDF"/>
    <w:rsid w:val="00AC2FF5"/>
    <w:rsid w:val="00AC6F0B"/>
    <w:rsid w:val="00AD60A5"/>
    <w:rsid w:val="00C2104F"/>
    <w:rsid w:val="00D70608"/>
    <w:rsid w:val="00E25CFB"/>
    <w:rsid w:val="00E96307"/>
    <w:rsid w:val="00EF290A"/>
    <w:rsid w:val="00F64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A3E35"/>
  <w15:chartTrackingRefBased/>
  <w15:docId w15:val="{A6FA5E1C-85AA-46E5-9227-F4828C74A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53B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853B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853B8"/>
    <w:rPr>
      <w:vertAlign w:val="superscript"/>
    </w:rPr>
  </w:style>
  <w:style w:type="paragraph" w:styleId="Akapitzlist">
    <w:name w:val="List Paragraph"/>
    <w:basedOn w:val="Normalny"/>
    <w:uiPriority w:val="34"/>
    <w:qFormat/>
    <w:rsid w:val="00731A8A"/>
    <w:pPr>
      <w:ind w:left="720"/>
      <w:contextualSpacing/>
    </w:pPr>
  </w:style>
  <w:style w:type="table" w:styleId="Tabela-Siatka">
    <w:name w:val="Table Grid"/>
    <w:basedOn w:val="Standardowy"/>
    <w:uiPriority w:val="39"/>
    <w:rsid w:val="005A36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3</Pages>
  <Words>794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5552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Jolanta Kubiak</cp:lastModifiedBy>
  <cp:revision>3</cp:revision>
  <dcterms:created xsi:type="dcterms:W3CDTF">2018-05-11T17:54:00Z</dcterms:created>
  <dcterms:modified xsi:type="dcterms:W3CDTF">2018-07-14T14:05:00Z</dcterms:modified>
</cp:coreProperties>
</file>